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5F065C">
        <w:rPr>
          <w:rFonts w:ascii="Palatino Linotype" w:hAnsi="Palatino Linotype"/>
          <w:b/>
          <w:sz w:val="24"/>
          <w:szCs w:val="24"/>
        </w:rPr>
        <w:t>CUADRAGÉSIMA SEXTA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SESIÓN ORDINARIA DE</w:t>
      </w:r>
      <w:r w:rsidR="00A13BD5">
        <w:rPr>
          <w:rFonts w:ascii="Palatino Linotype" w:hAnsi="Palatino Linotype"/>
          <w:b/>
          <w:sz w:val="24"/>
          <w:szCs w:val="24"/>
        </w:rPr>
        <w:t xml:space="preserve"> FECHA </w:t>
      </w:r>
      <w:r w:rsidR="005F065C">
        <w:rPr>
          <w:rFonts w:ascii="Palatino Linotype" w:hAnsi="Palatino Linotype"/>
          <w:b/>
          <w:sz w:val="24"/>
          <w:szCs w:val="24"/>
        </w:rPr>
        <w:t>DOCE DE DICIEMBRE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5A324F">
        <w:rPr>
          <w:rFonts w:ascii="Palatino Linotype" w:hAnsi="Palatino Linotype"/>
          <w:b/>
          <w:sz w:val="24"/>
          <w:szCs w:val="24"/>
        </w:rPr>
        <w:t>OCHO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5F065C">
        <w:rPr>
          <w:rFonts w:ascii="Palatino Linotype" w:hAnsi="Palatino Linotype"/>
          <w:b/>
          <w:sz w:val="24"/>
          <w:szCs w:val="24"/>
        </w:rPr>
        <w:t>3758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0607BA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0607BA" w:rsidP="00D15715">
      <w:pPr>
        <w:spacing w:before="240" w:after="24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5F065C">
        <w:rPr>
          <w:rFonts w:ascii="Palatino Linotype" w:hAnsi="Palatino Linotype"/>
          <w:b/>
          <w:spacing w:val="-4"/>
          <w:sz w:val="24"/>
          <w:szCs w:val="24"/>
        </w:rPr>
        <w:t>3758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A13BD5">
        <w:rPr>
          <w:rFonts w:ascii="Palatino Linotype" w:hAnsi="Palatino Linotype"/>
          <w:spacing w:val="-4"/>
          <w:sz w:val="24"/>
          <w:szCs w:val="24"/>
        </w:rPr>
        <w:t>e</w:t>
      </w:r>
      <w:r w:rsidR="00E47737" w:rsidRPr="005239A8">
        <w:rPr>
          <w:rFonts w:ascii="Palatino Linotype" w:hAnsi="Palatino Linotype"/>
          <w:spacing w:val="-4"/>
          <w:sz w:val="24"/>
          <w:szCs w:val="24"/>
        </w:rPr>
        <w:t>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13BD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A13BD5">
        <w:rPr>
          <w:rFonts w:ascii="Palatino Linotype" w:hAnsi="Palatino Linotype"/>
          <w:b/>
          <w:spacing w:val="-4"/>
          <w:sz w:val="24"/>
          <w:szCs w:val="24"/>
        </w:rPr>
        <w:t>José Guadalupe Luna Hernández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A13BD5" w:rsidRDefault="00F94C88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5F065C">
        <w:rPr>
          <w:rFonts w:ascii="Palatino Linotype" w:hAnsi="Palatino Linotype"/>
          <w:b/>
          <w:spacing w:val="-4"/>
          <w:sz w:val="24"/>
          <w:szCs w:val="24"/>
        </w:rPr>
        <w:t>3758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del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F239D6">
        <w:rPr>
          <w:rFonts w:ascii="Palatino Linotype" w:hAnsi="Palatino Linotype"/>
          <w:sz w:val="24"/>
          <w:szCs w:val="24"/>
        </w:rPr>
        <w:t>modificando</w:t>
      </w:r>
      <w:r w:rsidR="0086388D" w:rsidRPr="005239A8">
        <w:rPr>
          <w:rFonts w:ascii="Palatino Linotype" w:hAnsi="Palatino Linotype"/>
          <w:sz w:val="24"/>
          <w:szCs w:val="24"/>
        </w:rPr>
        <w:t xml:space="preserve"> la respuesta del </w:t>
      </w:r>
      <w:r w:rsidR="0086388D" w:rsidRPr="000A2623">
        <w:rPr>
          <w:rFonts w:ascii="Palatino Linotype" w:hAnsi="Palatino Linotype"/>
          <w:sz w:val="24"/>
          <w:szCs w:val="24"/>
        </w:rPr>
        <w:t>Sujeto Obligado</w:t>
      </w:r>
      <w:r w:rsidR="00D53580" w:rsidRPr="000A2623">
        <w:rPr>
          <w:rFonts w:ascii="Palatino Linotype" w:hAnsi="Palatino Linotype"/>
          <w:sz w:val="24"/>
          <w:szCs w:val="24"/>
        </w:rPr>
        <w:t>,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proyecto de resolución presentado</w:t>
      </w:r>
      <w:r w:rsidR="00A13BD5">
        <w:rPr>
          <w:rFonts w:ascii="Palatino Linotype" w:hAnsi="Palatino Linotype"/>
          <w:sz w:val="24"/>
          <w:szCs w:val="24"/>
        </w:rPr>
        <w:t xml:space="preserve">; no obstante,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A13BD5">
        <w:rPr>
          <w:rFonts w:ascii="Palatino Linotype" w:hAnsi="Palatino Linotype"/>
          <w:sz w:val="24"/>
          <w:szCs w:val="24"/>
        </w:rPr>
        <w:t xml:space="preserve">considera necesario </w:t>
      </w:r>
      <w:r w:rsidR="00F239D6">
        <w:rPr>
          <w:rFonts w:ascii="Palatino Linotype" w:hAnsi="Palatino Linotype"/>
          <w:sz w:val="24"/>
          <w:szCs w:val="24"/>
        </w:rPr>
        <w:t xml:space="preserve">precisar </w:t>
      </w:r>
      <w:r w:rsidR="00A13BD5">
        <w:rPr>
          <w:rFonts w:ascii="Palatino Linotype" w:hAnsi="Palatino Linotype"/>
          <w:sz w:val="24"/>
          <w:szCs w:val="24"/>
        </w:rPr>
        <w:t>respecto al modo de entrega.</w:t>
      </w:r>
    </w:p>
    <w:p w:rsidR="000A2623" w:rsidRDefault="00A13BD5" w:rsidP="005F065C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Así</w:t>
      </w:r>
      <w:r w:rsidR="000A2623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A2623">
        <w:rPr>
          <w:rFonts w:ascii="Palatino Linotype" w:hAnsi="Palatino Linotype"/>
          <w:sz w:val="24"/>
          <w:szCs w:val="24"/>
        </w:rPr>
        <w:t xml:space="preserve">en la </w:t>
      </w:r>
      <w:r>
        <w:rPr>
          <w:rFonts w:ascii="Palatino Linotype" w:hAnsi="Palatino Linotype"/>
          <w:sz w:val="24"/>
          <w:szCs w:val="24"/>
        </w:rPr>
        <w:t xml:space="preserve">solicitud de información que fue objeto de la presente resolución, </w:t>
      </w:r>
      <w:r w:rsidR="000A2623">
        <w:rPr>
          <w:rFonts w:ascii="Palatino Linotype" w:hAnsi="Palatino Linotype"/>
          <w:sz w:val="24"/>
          <w:szCs w:val="24"/>
        </w:rPr>
        <w:t xml:space="preserve">por un lado </w:t>
      </w:r>
      <w:r w:rsidR="00D15715">
        <w:rPr>
          <w:rFonts w:ascii="Palatino Linotype" w:hAnsi="Palatino Linotype"/>
          <w:sz w:val="24"/>
          <w:szCs w:val="24"/>
        </w:rPr>
        <w:t>e</w:t>
      </w:r>
      <w:r w:rsidR="000A2623">
        <w:rPr>
          <w:rFonts w:ascii="Palatino Linotype" w:hAnsi="Palatino Linotype"/>
          <w:sz w:val="24"/>
          <w:szCs w:val="24"/>
        </w:rPr>
        <w:t xml:space="preserve">l </w:t>
      </w:r>
      <w:r w:rsidR="00D15715">
        <w:rPr>
          <w:rFonts w:ascii="Palatino Linotype" w:hAnsi="Palatino Linotype"/>
          <w:sz w:val="24"/>
          <w:szCs w:val="24"/>
        </w:rPr>
        <w:t>solicitante</w:t>
      </w:r>
      <w:r w:rsidR="000A2623">
        <w:rPr>
          <w:rFonts w:ascii="Palatino Linotype" w:hAnsi="Palatino Linotype"/>
          <w:sz w:val="24"/>
          <w:szCs w:val="24"/>
        </w:rPr>
        <w:t xml:space="preserve"> </w:t>
      </w:r>
      <w:r w:rsidR="00D15715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en el apartado “DESCRIPCIÓN CLARA Y PRECISA  DE LA INFORMACIÓN SOLICITADA”, </w:t>
      </w:r>
      <w:r w:rsidR="005F065C">
        <w:rPr>
          <w:rFonts w:ascii="Palatino Linotype" w:hAnsi="Palatino Linotype"/>
          <w:sz w:val="24"/>
          <w:szCs w:val="24"/>
        </w:rPr>
        <w:t xml:space="preserve">la </w:t>
      </w:r>
      <w:r w:rsidR="005F065C" w:rsidRPr="005F065C">
        <w:rPr>
          <w:rFonts w:ascii="Palatino Linotype" w:hAnsi="Palatino Linotype"/>
          <w:sz w:val="24"/>
          <w:szCs w:val="24"/>
        </w:rPr>
        <w:t>revisi</w:t>
      </w:r>
      <w:r w:rsidR="005F065C">
        <w:rPr>
          <w:rFonts w:ascii="Palatino Linotype" w:hAnsi="Palatino Linotype"/>
          <w:sz w:val="24"/>
          <w:szCs w:val="24"/>
        </w:rPr>
        <w:t>ón de bases que realiz</w:t>
      </w:r>
      <w:r w:rsidR="00B70FD1">
        <w:rPr>
          <w:rFonts w:ascii="Palatino Linotype" w:hAnsi="Palatino Linotype"/>
          <w:sz w:val="24"/>
          <w:szCs w:val="24"/>
        </w:rPr>
        <w:t>ó</w:t>
      </w:r>
      <w:r w:rsidR="005F065C">
        <w:rPr>
          <w:rFonts w:ascii="Palatino Linotype" w:hAnsi="Palatino Linotype"/>
          <w:sz w:val="24"/>
          <w:szCs w:val="24"/>
        </w:rPr>
        <w:t xml:space="preserve"> el órgano Interno de Control </w:t>
      </w:r>
      <w:r w:rsidR="005F065C" w:rsidRPr="005F065C">
        <w:rPr>
          <w:rFonts w:ascii="Palatino Linotype" w:hAnsi="Palatino Linotype"/>
          <w:sz w:val="24"/>
          <w:szCs w:val="24"/>
        </w:rPr>
        <w:t xml:space="preserve">a las licitaciones de </w:t>
      </w:r>
      <w:r w:rsidR="005F065C">
        <w:rPr>
          <w:rFonts w:ascii="Palatino Linotype" w:hAnsi="Palatino Linotype"/>
          <w:sz w:val="24"/>
          <w:szCs w:val="24"/>
        </w:rPr>
        <w:t>2018</w:t>
      </w:r>
      <w:r w:rsidR="005F065C" w:rsidRPr="005F065C">
        <w:rPr>
          <w:rFonts w:ascii="Palatino Linotype" w:hAnsi="Palatino Linotype"/>
          <w:sz w:val="24"/>
          <w:szCs w:val="24"/>
        </w:rPr>
        <w:t xml:space="preserve"> año</w:t>
      </w:r>
      <w:r w:rsidR="005F065C">
        <w:rPr>
          <w:rFonts w:ascii="Palatino Linotype" w:hAnsi="Palatino Linotype"/>
          <w:sz w:val="24"/>
          <w:szCs w:val="24"/>
        </w:rPr>
        <w:t xml:space="preserve">, aun las que están </w:t>
      </w:r>
      <w:r w:rsidR="005F065C" w:rsidRPr="005F065C">
        <w:rPr>
          <w:rFonts w:ascii="Palatino Linotype" w:hAnsi="Palatino Linotype"/>
          <w:sz w:val="24"/>
          <w:szCs w:val="24"/>
        </w:rPr>
        <w:t>en proceso</w:t>
      </w:r>
      <w:r w:rsidR="005F065C">
        <w:rPr>
          <w:rFonts w:ascii="Palatino Linotype" w:hAnsi="Palatino Linotype"/>
          <w:sz w:val="24"/>
          <w:szCs w:val="24"/>
        </w:rPr>
        <w:t xml:space="preserve">, </w:t>
      </w:r>
      <w:r w:rsidR="005F065C" w:rsidRPr="005F065C">
        <w:rPr>
          <w:rFonts w:ascii="Palatino Linotype" w:hAnsi="Palatino Linotype"/>
          <w:sz w:val="24"/>
          <w:szCs w:val="24"/>
        </w:rPr>
        <w:t>para ambulancias y patrullas o moto patrullas</w:t>
      </w:r>
      <w:r w:rsidR="005F065C">
        <w:rPr>
          <w:rFonts w:ascii="Palatino Linotype" w:hAnsi="Palatino Linotype"/>
          <w:sz w:val="24"/>
          <w:szCs w:val="24"/>
        </w:rPr>
        <w:t xml:space="preserve"> y</w:t>
      </w:r>
      <w:r w:rsidR="00E13AF7">
        <w:rPr>
          <w:rFonts w:ascii="Palatino Linotype" w:hAnsi="Palatino Linotype"/>
          <w:sz w:val="24"/>
          <w:szCs w:val="24"/>
        </w:rPr>
        <w:t>,</w:t>
      </w:r>
      <w:r w:rsidR="005F065C" w:rsidRPr="005F065C">
        <w:rPr>
          <w:rFonts w:ascii="Palatino Linotype" w:hAnsi="Palatino Linotype"/>
          <w:sz w:val="24"/>
          <w:szCs w:val="24"/>
        </w:rPr>
        <w:t xml:space="preserve"> toda la información </w:t>
      </w:r>
      <w:r w:rsidR="005F065C">
        <w:rPr>
          <w:rFonts w:ascii="Palatino Linotype" w:hAnsi="Palatino Linotype"/>
          <w:sz w:val="24"/>
          <w:szCs w:val="24"/>
        </w:rPr>
        <w:t xml:space="preserve">pública de oficio; </w:t>
      </w:r>
      <w:r w:rsidR="000A2623">
        <w:rPr>
          <w:rFonts w:ascii="Palatino Linotype" w:hAnsi="Palatino Linotype"/>
          <w:sz w:val="24"/>
          <w:szCs w:val="24"/>
        </w:rPr>
        <w:t xml:space="preserve">por otro lado, en el apartado “MODALIDAD DE ENTREGA” refirió requerirse a través del SAIMEX; en este sentido y después de realizar el debido estudio del planteamiento de la Litis, se ordenó </w:t>
      </w:r>
      <w:r w:rsidR="00E13AF7">
        <w:rPr>
          <w:rFonts w:ascii="Palatino Linotype" w:hAnsi="Palatino Linotype"/>
          <w:sz w:val="24"/>
          <w:szCs w:val="24"/>
        </w:rPr>
        <w:t xml:space="preserve">la entrega de la información solicitada </w:t>
      </w:r>
      <w:r w:rsidR="000A2623">
        <w:rPr>
          <w:rFonts w:ascii="Palatino Linotype" w:hAnsi="Palatino Linotype"/>
          <w:sz w:val="24"/>
          <w:szCs w:val="24"/>
        </w:rPr>
        <w:t>vía</w:t>
      </w:r>
      <w:r w:rsidR="00E13AF7">
        <w:rPr>
          <w:rFonts w:ascii="Palatino Linotype" w:hAnsi="Palatino Linotype"/>
          <w:sz w:val="24"/>
          <w:szCs w:val="24"/>
        </w:rPr>
        <w:t xml:space="preserve"> consulta directa</w:t>
      </w:r>
      <w:r w:rsidR="000A2623">
        <w:rPr>
          <w:rFonts w:ascii="Palatino Linotype" w:hAnsi="Palatino Linotype"/>
          <w:sz w:val="24"/>
          <w:szCs w:val="24"/>
        </w:rPr>
        <w:t xml:space="preserve">. </w:t>
      </w:r>
    </w:p>
    <w:p w:rsidR="00B201BC" w:rsidRPr="00F14DB2" w:rsidRDefault="000A2623" w:rsidP="00D15715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Bajo ese orden de ideas,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</w:t>
      </w:r>
      <w:r w:rsidR="00E13AF7">
        <w:rPr>
          <w:rFonts w:ascii="Palatino Linotype" w:hAnsi="Palatino Linotype" w:cs="Arial"/>
          <w:sz w:val="24"/>
          <w:szCs w:val="24"/>
        </w:rPr>
        <w:t>para la debida atención de la solicitud de información, se debió ordenar la entrega de información vía</w:t>
      </w:r>
      <w:r w:rsidR="0077047E">
        <w:rPr>
          <w:rFonts w:ascii="Palatino Linotype" w:hAnsi="Palatino Linotype" w:cs="Arial"/>
          <w:sz w:val="24"/>
          <w:szCs w:val="24"/>
        </w:rPr>
        <w:t xml:space="preserve"> consulta </w:t>
      </w:r>
      <w:r w:rsidR="00E13AF7">
        <w:rPr>
          <w:rFonts w:ascii="Palatino Linotype" w:hAnsi="Palatino Linotype" w:cs="Arial"/>
          <w:sz w:val="24"/>
          <w:szCs w:val="24"/>
        </w:rPr>
        <w:t xml:space="preserve"> </w:t>
      </w:r>
      <w:r w:rsidR="0077047E">
        <w:rPr>
          <w:rFonts w:ascii="Palatino Linotype" w:hAnsi="Palatino Linotype" w:cs="Arial"/>
          <w:sz w:val="24"/>
          <w:szCs w:val="24"/>
        </w:rPr>
        <w:t>a través de la plataforma de Información Pública de Oficio Mexiquense (IPOMEX)</w:t>
      </w:r>
      <w:r w:rsidR="00E13AF7">
        <w:rPr>
          <w:rFonts w:ascii="Palatino Linotype" w:hAnsi="Palatino Linotype" w:cs="Arial"/>
          <w:sz w:val="24"/>
          <w:szCs w:val="24"/>
        </w:rPr>
        <w:t>.</w:t>
      </w:r>
    </w:p>
    <w:p w:rsidR="00E13AF7" w:rsidRDefault="00E13AF7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 anterior se considera, porque si bien es cierto como lo refiere el Comisionado Ponente, que la información pública de oficio solicitada excede las capacidades del SAIMEX para su respectiva entrega</w:t>
      </w:r>
      <w:r w:rsidR="0039126C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290BCE">
        <w:rPr>
          <w:rFonts w:ascii="Palatino Linotype" w:hAnsi="Palatino Linotype"/>
          <w:sz w:val="24"/>
          <w:szCs w:val="24"/>
        </w:rPr>
        <w:t>también lo es</w:t>
      </w:r>
      <w:r w:rsidR="0039126C">
        <w:rPr>
          <w:rFonts w:ascii="Palatino Linotype" w:hAnsi="Palatino Linotype"/>
          <w:sz w:val="24"/>
          <w:szCs w:val="24"/>
        </w:rPr>
        <w:t>,</w:t>
      </w:r>
      <w:r w:rsidR="00290BCE">
        <w:rPr>
          <w:rFonts w:ascii="Palatino Linotype" w:hAnsi="Palatino Linotype"/>
          <w:sz w:val="24"/>
          <w:szCs w:val="24"/>
        </w:rPr>
        <w:t xml:space="preserve"> </w:t>
      </w:r>
      <w:r w:rsidR="00C012B7">
        <w:rPr>
          <w:rFonts w:ascii="Palatino Linotype" w:hAnsi="Palatino Linotype"/>
          <w:sz w:val="24"/>
          <w:szCs w:val="24"/>
        </w:rPr>
        <w:t xml:space="preserve">que </w:t>
      </w:r>
      <w:r w:rsidR="0077047E">
        <w:rPr>
          <w:rFonts w:ascii="Palatino Linotype" w:hAnsi="Palatino Linotype"/>
          <w:sz w:val="24"/>
          <w:szCs w:val="24"/>
        </w:rPr>
        <w:t>la información solicitada corresponde a información que debe de estar disponible al público</w:t>
      </w:r>
      <w:r w:rsidR="00C012B7">
        <w:rPr>
          <w:rFonts w:ascii="Palatino Linotype" w:hAnsi="Palatino Linotype"/>
          <w:sz w:val="24"/>
          <w:szCs w:val="24"/>
        </w:rPr>
        <w:t xml:space="preserve"> en general </w:t>
      </w:r>
      <w:r w:rsidR="0077047E">
        <w:rPr>
          <w:rFonts w:ascii="Palatino Linotype" w:hAnsi="Palatino Linotype"/>
          <w:sz w:val="24"/>
          <w:szCs w:val="24"/>
        </w:rPr>
        <w:t>a través del IPOMEX</w:t>
      </w:r>
      <w:r w:rsidR="00290BCE">
        <w:rPr>
          <w:rFonts w:ascii="Palatino Linotype" w:hAnsi="Palatino Linotype"/>
          <w:sz w:val="24"/>
          <w:szCs w:val="24"/>
        </w:rPr>
        <w:t xml:space="preserve">, situación que a criterio de esta ponencia </w:t>
      </w:r>
      <w:r w:rsidR="0077047E">
        <w:rPr>
          <w:rFonts w:ascii="Palatino Linotype" w:hAnsi="Palatino Linotype"/>
          <w:sz w:val="24"/>
          <w:szCs w:val="24"/>
        </w:rPr>
        <w:t xml:space="preserve">debió </w:t>
      </w:r>
      <w:r w:rsidR="00290BCE">
        <w:rPr>
          <w:rFonts w:ascii="Palatino Linotype" w:hAnsi="Palatino Linotype"/>
          <w:sz w:val="24"/>
          <w:szCs w:val="24"/>
        </w:rPr>
        <w:t xml:space="preserve">haberse </w:t>
      </w:r>
      <w:r w:rsidR="0077047E">
        <w:rPr>
          <w:rFonts w:ascii="Palatino Linotype" w:hAnsi="Palatino Linotype"/>
          <w:sz w:val="24"/>
          <w:szCs w:val="24"/>
        </w:rPr>
        <w:t xml:space="preserve">ordenado al </w:t>
      </w:r>
      <w:r w:rsidR="0077047E" w:rsidRPr="0077047E">
        <w:rPr>
          <w:rFonts w:ascii="Palatino Linotype" w:hAnsi="Palatino Linotype"/>
          <w:sz w:val="24"/>
          <w:szCs w:val="24"/>
        </w:rPr>
        <w:t>Sujeto Obligado</w:t>
      </w:r>
      <w:r w:rsidR="0077047E">
        <w:rPr>
          <w:rFonts w:ascii="Palatino Linotype" w:hAnsi="Palatino Linotype"/>
          <w:sz w:val="24"/>
          <w:szCs w:val="24"/>
        </w:rPr>
        <w:t xml:space="preserve"> actualizar su plataforma de modo tal que esté disponible de manera actualizada la información solicitada por el Recurrente</w:t>
      </w:r>
      <w:r w:rsidR="0039126C">
        <w:rPr>
          <w:rFonts w:ascii="Palatino Linotype" w:hAnsi="Palatino Linotype"/>
          <w:sz w:val="24"/>
          <w:szCs w:val="24"/>
        </w:rPr>
        <w:t>.</w:t>
      </w:r>
    </w:p>
    <w:p w:rsidR="0039126C" w:rsidRDefault="004578FC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De este modo, en atención al principio de máxima publicidad, </w:t>
      </w:r>
      <w:r w:rsidR="007126AE">
        <w:rPr>
          <w:rFonts w:ascii="Palatino Linotype" w:hAnsi="Palatino Linotype"/>
          <w:sz w:val="24"/>
          <w:szCs w:val="24"/>
        </w:rPr>
        <w:t xml:space="preserve">esta ponencia considera que </w:t>
      </w:r>
      <w:r>
        <w:rPr>
          <w:rFonts w:ascii="Palatino Linotype" w:hAnsi="Palatino Linotype"/>
          <w:sz w:val="24"/>
          <w:szCs w:val="24"/>
        </w:rPr>
        <w:t xml:space="preserve">si un solicitante requiere </w:t>
      </w:r>
      <w:r w:rsidR="00C012B7">
        <w:rPr>
          <w:rFonts w:ascii="Palatino Linotype" w:hAnsi="Palatino Linotype"/>
          <w:sz w:val="24"/>
          <w:szCs w:val="24"/>
        </w:rPr>
        <w:t xml:space="preserve">información pública de oficio </w:t>
      </w:r>
      <w:r>
        <w:rPr>
          <w:rFonts w:ascii="Palatino Linotype" w:hAnsi="Palatino Linotype"/>
          <w:sz w:val="24"/>
          <w:szCs w:val="24"/>
        </w:rPr>
        <w:t xml:space="preserve">vía SAIMEX </w:t>
      </w:r>
      <w:r w:rsidR="00C012B7">
        <w:rPr>
          <w:rFonts w:ascii="Palatino Linotype" w:hAnsi="Palatino Linotype"/>
          <w:sz w:val="24"/>
          <w:szCs w:val="24"/>
        </w:rPr>
        <w:t xml:space="preserve">por no estar disponible a través de las plataformas de internet </w:t>
      </w:r>
      <w:r>
        <w:rPr>
          <w:rFonts w:ascii="Palatino Linotype" w:hAnsi="Palatino Linotype"/>
          <w:sz w:val="24"/>
          <w:szCs w:val="24"/>
        </w:rPr>
        <w:t xml:space="preserve">y </w:t>
      </w:r>
      <w:r w:rsidR="0077047E">
        <w:rPr>
          <w:rFonts w:ascii="Palatino Linotype" w:hAnsi="Palatino Linotype"/>
          <w:sz w:val="24"/>
          <w:szCs w:val="24"/>
        </w:rPr>
        <w:t>dicha información</w:t>
      </w:r>
      <w:r w:rsidR="00C012B7">
        <w:rPr>
          <w:rFonts w:ascii="Palatino Linotype" w:hAnsi="Palatino Linotype"/>
          <w:sz w:val="24"/>
          <w:szCs w:val="24"/>
        </w:rPr>
        <w:t xml:space="preserve"> excede las capacidades del SAIMEX</w:t>
      </w:r>
      <w:r w:rsidR="0077047E">
        <w:rPr>
          <w:rFonts w:ascii="Palatino Linotype" w:hAnsi="Palatino Linotype"/>
          <w:sz w:val="24"/>
          <w:szCs w:val="24"/>
        </w:rPr>
        <w:t xml:space="preserve">, </w:t>
      </w:r>
      <w:r w:rsidR="00C012B7">
        <w:rPr>
          <w:rFonts w:ascii="Palatino Linotype" w:hAnsi="Palatino Linotype"/>
          <w:sz w:val="24"/>
          <w:szCs w:val="24"/>
        </w:rPr>
        <w:t>puede ser</w:t>
      </w:r>
      <w:r>
        <w:rPr>
          <w:rFonts w:ascii="Palatino Linotype" w:hAnsi="Palatino Linotype"/>
          <w:sz w:val="24"/>
          <w:szCs w:val="24"/>
        </w:rPr>
        <w:t xml:space="preserve"> factible </w:t>
      </w:r>
      <w:r w:rsidR="0077047E">
        <w:rPr>
          <w:rFonts w:ascii="Palatino Linotype" w:hAnsi="Palatino Linotype"/>
          <w:sz w:val="24"/>
          <w:szCs w:val="24"/>
        </w:rPr>
        <w:t xml:space="preserve">ordenar la entrega </w:t>
      </w:r>
      <w:r>
        <w:rPr>
          <w:rFonts w:ascii="Palatino Linotype" w:hAnsi="Palatino Linotype"/>
          <w:sz w:val="24"/>
          <w:szCs w:val="24"/>
        </w:rPr>
        <w:t xml:space="preserve">por </w:t>
      </w:r>
      <w:r w:rsidR="0077047E">
        <w:rPr>
          <w:rFonts w:ascii="Palatino Linotype" w:hAnsi="Palatino Linotype"/>
          <w:sz w:val="24"/>
          <w:szCs w:val="24"/>
        </w:rPr>
        <w:t>medio de la plataforma de IPOMEX</w:t>
      </w:r>
      <w:r w:rsidR="007126AE">
        <w:rPr>
          <w:rFonts w:ascii="Palatino Linotype" w:hAnsi="Palatino Linotype"/>
          <w:sz w:val="24"/>
          <w:szCs w:val="24"/>
        </w:rPr>
        <w:t xml:space="preserve">, </w:t>
      </w:r>
      <w:r w:rsidR="0077047E">
        <w:rPr>
          <w:rFonts w:ascii="Palatino Linotype" w:hAnsi="Palatino Linotype"/>
          <w:sz w:val="24"/>
          <w:szCs w:val="24"/>
        </w:rPr>
        <w:t>ya que no hacerlo de este modo transgred</w:t>
      </w:r>
      <w:r w:rsidR="00C012B7">
        <w:rPr>
          <w:rFonts w:ascii="Palatino Linotype" w:hAnsi="Palatino Linotype"/>
          <w:sz w:val="24"/>
          <w:szCs w:val="24"/>
        </w:rPr>
        <w:t>e</w:t>
      </w:r>
      <w:r w:rsidR="0077047E">
        <w:rPr>
          <w:rFonts w:ascii="Palatino Linotype" w:hAnsi="Palatino Linotype"/>
          <w:sz w:val="24"/>
          <w:szCs w:val="24"/>
        </w:rPr>
        <w:t xml:space="preserve"> el derecho de acceso a la información de los solicitantes por orillarlos a consultar </w:t>
      </w:r>
      <w:r w:rsidR="0077047E" w:rsidRPr="0077047E">
        <w:rPr>
          <w:rFonts w:ascii="Palatino Linotype" w:hAnsi="Palatino Linotype"/>
          <w:i/>
          <w:sz w:val="24"/>
          <w:szCs w:val="24"/>
        </w:rPr>
        <w:t>in situ</w:t>
      </w:r>
      <w:r w:rsidR="0077047E">
        <w:rPr>
          <w:rFonts w:ascii="Palatino Linotype" w:hAnsi="Palatino Linotype"/>
          <w:sz w:val="24"/>
          <w:szCs w:val="24"/>
        </w:rPr>
        <w:t xml:space="preserve"> la información que debe estar al alcance de todos los mexiquenses a través de los medios electrónicos disponibles.</w:t>
      </w:r>
      <w:r w:rsidR="00B70FD1">
        <w:rPr>
          <w:rFonts w:ascii="Palatino Linotype" w:hAnsi="Palatino Linotype"/>
          <w:sz w:val="24"/>
          <w:szCs w:val="24"/>
        </w:rPr>
        <w:t xml:space="preserve"> </w:t>
      </w:r>
    </w:p>
    <w:p w:rsidR="00B201BC" w:rsidRPr="00F14DB2" w:rsidRDefault="00B201BC" w:rsidP="00D1571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F14DB2">
        <w:rPr>
          <w:rFonts w:ascii="Palatino Linotype" w:hAnsi="Palatino Linotype"/>
          <w:sz w:val="24"/>
          <w:szCs w:val="24"/>
        </w:rPr>
        <w:t xml:space="preserve">Así la suscrita comparte las razones que motivaron la emisión del recurso de revisión en comento; sin embargo, difiere respecto </w:t>
      </w:r>
      <w:r w:rsidR="00D15715">
        <w:rPr>
          <w:rFonts w:ascii="Palatino Linotype" w:hAnsi="Palatino Linotype"/>
          <w:sz w:val="24"/>
          <w:szCs w:val="24"/>
        </w:rPr>
        <w:t>a la</w:t>
      </w:r>
      <w:r w:rsidR="00E74328">
        <w:rPr>
          <w:rFonts w:ascii="Palatino Linotype" w:hAnsi="Palatino Linotype"/>
          <w:sz w:val="24"/>
          <w:szCs w:val="24"/>
        </w:rPr>
        <w:t xml:space="preserve"> forma de entrega de la </w:t>
      </w:r>
      <w:r w:rsidR="00F14DB2" w:rsidRPr="00F14DB2">
        <w:rPr>
          <w:rFonts w:ascii="Palatino Linotype" w:hAnsi="Palatino Linotype"/>
          <w:sz w:val="24"/>
          <w:szCs w:val="24"/>
        </w:rPr>
        <w:t>información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D64D51" w:rsidRDefault="00D64D51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A324F" w:rsidRDefault="005A324F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C012B7" w:rsidRPr="005239A8" w:rsidRDefault="00C012B7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86388D" w:rsidRPr="005239A8" w:rsidRDefault="0086388D" w:rsidP="00B70FD1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E74328" w:rsidRDefault="00E74328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0607BA" w:rsidRDefault="00017F9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>OSAM/</w:t>
      </w:r>
      <w:r w:rsidR="00F14DB2">
        <w:rPr>
          <w:rFonts w:ascii="Palatino Linotype" w:hAnsi="Palatino Linotype"/>
          <w:sz w:val="24"/>
          <w:szCs w:val="24"/>
        </w:rPr>
        <w:t>AEMP</w:t>
      </w:r>
    </w:p>
    <w:p w:rsidR="00C012B7" w:rsidRDefault="00C012B7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012B7" w:rsidRPr="00C012B7" w:rsidRDefault="00C012B7" w:rsidP="00C012B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C012B7">
        <w:rPr>
          <w:rFonts w:ascii="Palatino Linotype" w:hAnsi="Palatino Linotype"/>
          <w:sz w:val="20"/>
          <w:szCs w:val="20"/>
        </w:rPr>
        <w:t>Esta hoja corresponde al recurso de revisión número 03758/INFOEM/IP/RR/2018, aprobado el doce de diciembre de dos mil dieciocho.</w:t>
      </w:r>
    </w:p>
    <w:sectPr w:rsidR="00C012B7" w:rsidRPr="00C012B7" w:rsidSect="00EE7E3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27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61" w:rsidRDefault="00106961" w:rsidP="00907451">
      <w:pPr>
        <w:spacing w:after="0" w:line="240" w:lineRule="auto"/>
      </w:pPr>
      <w:r>
        <w:separator/>
      </w:r>
    </w:p>
  </w:endnote>
  <w:endnote w:type="continuationSeparator" w:id="0">
    <w:p w:rsidR="00106961" w:rsidRDefault="00106961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275359">
      <w:rPr>
        <w:rFonts w:ascii="Arial" w:hAnsi="Arial" w:cs="Arial"/>
        <w:b/>
        <w:bCs/>
        <w:noProof/>
        <w:sz w:val="20"/>
        <w:szCs w:val="20"/>
      </w:rPr>
      <w:t>1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275359">
      <w:rPr>
        <w:rFonts w:ascii="Arial" w:hAnsi="Arial" w:cs="Arial"/>
        <w:b/>
        <w:bCs/>
        <w:noProof/>
        <w:sz w:val="20"/>
        <w:szCs w:val="20"/>
      </w:rPr>
      <w:t>3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275359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61" w:rsidRDefault="00106961" w:rsidP="00907451">
      <w:pPr>
        <w:spacing w:after="0" w:line="240" w:lineRule="auto"/>
      </w:pPr>
      <w:r>
        <w:separator/>
      </w:r>
    </w:p>
  </w:footnote>
  <w:footnote w:type="continuationSeparator" w:id="0">
    <w:p w:rsidR="00106961" w:rsidRDefault="00106961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27535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9" o:spid="_x0000_s2050" type="#_x0000_t136" style="position:absolute;margin-left:0;margin-top:0;width:561.9pt;height:67.4pt;rotation:315;z-index:-251656192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  <w:r w:rsidR="00057319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275359" w:rsidP="007263BB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val="es-MX" w:eastAsia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12942" o:spid="_x0000_s2052" type="#_x0000_t136" style="position:absolute;left:0;text-align:left;margin-left:0;margin-top:0;width:518.25pt;height:111.05pt;rotation:315;z-index:-251651072;mso-position-horizontal:center;mso-position-horizontal-relative:margin;mso-position-vertical:center;mso-position-vertical-relative:margin" o:allowincell="f" fillcolor="#ed7d31 [3205]" stroked="f">
          <v:fill opacity=".5"/>
          <v:textpath style="font-family:&quot;calibri&quot;;font-size:1pt" string="VOTO PARTICULAR"/>
          <w10:wrap anchorx="margin" anchory="margin"/>
        </v:shape>
      </w:pict>
    </w:r>
    <w:r w:rsidR="00245DCD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PowerPlusWaterMarkObject1542739970" o:spid="_x0000_s2049" type="#_x0000_t136" alt="OPINIÓN PARTICULAR" style="position:absolute;left:0;text-align:left;margin-left:0;margin-top:0;width:561.9pt;height:67.4pt;rotation:315;z-index:-251657216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;font-weight:bold" string="VOTO PARTICULAR CONCURRENTE"/>
          <w10:wrap anchorx="margin" anchory="margin"/>
        </v:shape>
      </w:pict>
    </w:r>
  </w:p>
  <w:p w:rsidR="00D758BE" w:rsidRDefault="00275359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5F065C">
      <w:rPr>
        <w:rFonts w:ascii="Palatino Linotype" w:hAnsi="Palatino Linotype" w:cs="Arial"/>
        <w:b/>
        <w:sz w:val="20"/>
        <w:szCs w:val="20"/>
      </w:rPr>
      <w:t>3758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275359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27535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2739968" o:spid="_x0000_s2051" type="#_x0000_t136" style="position:absolute;margin-left:0;margin-top:0;width:561.9pt;height:67.4pt;rotation:315;z-index:-25165414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7F9A"/>
    <w:rsid w:val="00021D7E"/>
    <w:rsid w:val="0002470C"/>
    <w:rsid w:val="000248FB"/>
    <w:rsid w:val="00057319"/>
    <w:rsid w:val="000607BA"/>
    <w:rsid w:val="000906EA"/>
    <w:rsid w:val="00093A6A"/>
    <w:rsid w:val="000A2623"/>
    <w:rsid w:val="000A5FA4"/>
    <w:rsid w:val="000A6B85"/>
    <w:rsid w:val="000B5880"/>
    <w:rsid w:val="000B701A"/>
    <w:rsid w:val="000E3601"/>
    <w:rsid w:val="00104579"/>
    <w:rsid w:val="00104C6D"/>
    <w:rsid w:val="00106961"/>
    <w:rsid w:val="00116BFA"/>
    <w:rsid w:val="001227DE"/>
    <w:rsid w:val="00131412"/>
    <w:rsid w:val="00155046"/>
    <w:rsid w:val="001708DD"/>
    <w:rsid w:val="00180FBE"/>
    <w:rsid w:val="001822F4"/>
    <w:rsid w:val="001916DA"/>
    <w:rsid w:val="001936EB"/>
    <w:rsid w:val="001B0A95"/>
    <w:rsid w:val="001C55E5"/>
    <w:rsid w:val="001D277A"/>
    <w:rsid w:val="001D48D0"/>
    <w:rsid w:val="001F16CA"/>
    <w:rsid w:val="00212D2C"/>
    <w:rsid w:val="00223FAC"/>
    <w:rsid w:val="00245DCD"/>
    <w:rsid w:val="002572FD"/>
    <w:rsid w:val="00273DD6"/>
    <w:rsid w:val="00275359"/>
    <w:rsid w:val="00290BCE"/>
    <w:rsid w:val="00292D40"/>
    <w:rsid w:val="002947E2"/>
    <w:rsid w:val="002A0DB1"/>
    <w:rsid w:val="002A3C6D"/>
    <w:rsid w:val="002A5ADD"/>
    <w:rsid w:val="002A6359"/>
    <w:rsid w:val="002B4668"/>
    <w:rsid w:val="002E09DA"/>
    <w:rsid w:val="002E564B"/>
    <w:rsid w:val="00350167"/>
    <w:rsid w:val="0035205C"/>
    <w:rsid w:val="0039126C"/>
    <w:rsid w:val="003962F5"/>
    <w:rsid w:val="003A1D0D"/>
    <w:rsid w:val="003E73BF"/>
    <w:rsid w:val="00403866"/>
    <w:rsid w:val="00417FC3"/>
    <w:rsid w:val="00456467"/>
    <w:rsid w:val="004578FC"/>
    <w:rsid w:val="00463F62"/>
    <w:rsid w:val="00475CF8"/>
    <w:rsid w:val="00477A3C"/>
    <w:rsid w:val="00495B61"/>
    <w:rsid w:val="004A3237"/>
    <w:rsid w:val="00505F5A"/>
    <w:rsid w:val="005129F6"/>
    <w:rsid w:val="005239A8"/>
    <w:rsid w:val="00553B9F"/>
    <w:rsid w:val="005549ED"/>
    <w:rsid w:val="00560611"/>
    <w:rsid w:val="00561802"/>
    <w:rsid w:val="005728B5"/>
    <w:rsid w:val="005777C1"/>
    <w:rsid w:val="005969BB"/>
    <w:rsid w:val="005A324F"/>
    <w:rsid w:val="005B68C1"/>
    <w:rsid w:val="005F03F6"/>
    <w:rsid w:val="005F065C"/>
    <w:rsid w:val="005F4C0C"/>
    <w:rsid w:val="00610DF9"/>
    <w:rsid w:val="006214D7"/>
    <w:rsid w:val="00637CC4"/>
    <w:rsid w:val="00697A88"/>
    <w:rsid w:val="006C18E1"/>
    <w:rsid w:val="006C34A1"/>
    <w:rsid w:val="006C470E"/>
    <w:rsid w:val="006E048C"/>
    <w:rsid w:val="006F346D"/>
    <w:rsid w:val="00700361"/>
    <w:rsid w:val="00701987"/>
    <w:rsid w:val="007126AE"/>
    <w:rsid w:val="0077047E"/>
    <w:rsid w:val="00771BEE"/>
    <w:rsid w:val="00772AEA"/>
    <w:rsid w:val="007B18B4"/>
    <w:rsid w:val="007B6EE5"/>
    <w:rsid w:val="00842EF0"/>
    <w:rsid w:val="0086388D"/>
    <w:rsid w:val="00865A5E"/>
    <w:rsid w:val="00870580"/>
    <w:rsid w:val="00884605"/>
    <w:rsid w:val="00892DF4"/>
    <w:rsid w:val="00897E24"/>
    <w:rsid w:val="008A4206"/>
    <w:rsid w:val="008D2BE2"/>
    <w:rsid w:val="008F0D29"/>
    <w:rsid w:val="00907451"/>
    <w:rsid w:val="0093655C"/>
    <w:rsid w:val="00955426"/>
    <w:rsid w:val="00956FEF"/>
    <w:rsid w:val="009611D3"/>
    <w:rsid w:val="009A0101"/>
    <w:rsid w:val="009B2DF7"/>
    <w:rsid w:val="009E3149"/>
    <w:rsid w:val="009E6AA0"/>
    <w:rsid w:val="009F1365"/>
    <w:rsid w:val="00A00729"/>
    <w:rsid w:val="00A01E1E"/>
    <w:rsid w:val="00A13BD5"/>
    <w:rsid w:val="00A21005"/>
    <w:rsid w:val="00A27532"/>
    <w:rsid w:val="00A62E74"/>
    <w:rsid w:val="00A6559F"/>
    <w:rsid w:val="00A8670E"/>
    <w:rsid w:val="00AA4E6C"/>
    <w:rsid w:val="00AD734C"/>
    <w:rsid w:val="00B02DEB"/>
    <w:rsid w:val="00B07747"/>
    <w:rsid w:val="00B201BC"/>
    <w:rsid w:val="00B31574"/>
    <w:rsid w:val="00B46DBF"/>
    <w:rsid w:val="00B547F4"/>
    <w:rsid w:val="00B54D82"/>
    <w:rsid w:val="00B64C32"/>
    <w:rsid w:val="00B70FD1"/>
    <w:rsid w:val="00B95ED4"/>
    <w:rsid w:val="00BC0CB8"/>
    <w:rsid w:val="00BC25C0"/>
    <w:rsid w:val="00C012B7"/>
    <w:rsid w:val="00C0540D"/>
    <w:rsid w:val="00C37C25"/>
    <w:rsid w:val="00C44E15"/>
    <w:rsid w:val="00C66426"/>
    <w:rsid w:val="00C71F06"/>
    <w:rsid w:val="00C85884"/>
    <w:rsid w:val="00C85D0B"/>
    <w:rsid w:val="00C87F17"/>
    <w:rsid w:val="00C9164A"/>
    <w:rsid w:val="00CD7235"/>
    <w:rsid w:val="00CE0543"/>
    <w:rsid w:val="00CF1C3B"/>
    <w:rsid w:val="00D15715"/>
    <w:rsid w:val="00D32E4F"/>
    <w:rsid w:val="00D53580"/>
    <w:rsid w:val="00D64D51"/>
    <w:rsid w:val="00D73393"/>
    <w:rsid w:val="00D87826"/>
    <w:rsid w:val="00DA32D9"/>
    <w:rsid w:val="00DC2448"/>
    <w:rsid w:val="00DC752B"/>
    <w:rsid w:val="00DD32B1"/>
    <w:rsid w:val="00DD3C18"/>
    <w:rsid w:val="00E13AF7"/>
    <w:rsid w:val="00E149CD"/>
    <w:rsid w:val="00E20299"/>
    <w:rsid w:val="00E30FFD"/>
    <w:rsid w:val="00E47737"/>
    <w:rsid w:val="00E51624"/>
    <w:rsid w:val="00E74328"/>
    <w:rsid w:val="00E920D4"/>
    <w:rsid w:val="00EE580C"/>
    <w:rsid w:val="00EE7E39"/>
    <w:rsid w:val="00F14DB2"/>
    <w:rsid w:val="00F17CCB"/>
    <w:rsid w:val="00F239D6"/>
    <w:rsid w:val="00F466F2"/>
    <w:rsid w:val="00F5533A"/>
    <w:rsid w:val="00F76B05"/>
    <w:rsid w:val="00F866A6"/>
    <w:rsid w:val="00F94C88"/>
    <w:rsid w:val="00FB418F"/>
    <w:rsid w:val="00FC2A8D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D192D11-61A2-458A-AF36-0BF03CA8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2018-12-18T00:33:00Z</cp:lastPrinted>
  <dcterms:created xsi:type="dcterms:W3CDTF">2019-01-24T20:49:00Z</dcterms:created>
  <dcterms:modified xsi:type="dcterms:W3CDTF">2019-01-24T20:49:00Z</dcterms:modified>
</cp:coreProperties>
</file>